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B2" w:rsidRPr="005405CB" w:rsidRDefault="002801B2" w:rsidP="002801B2">
      <w:pPr>
        <w:pStyle w:val="Default"/>
        <w:ind w:right="758"/>
        <w:jc w:val="both"/>
        <w:rPr>
          <w:rFonts w:eastAsia="Times New Roman"/>
          <w:b/>
          <w:caps/>
          <w:color w:val="auto"/>
          <w:sz w:val="22"/>
          <w:szCs w:val="22"/>
          <w:lang w:eastAsia="es-ES"/>
        </w:rPr>
      </w:pPr>
      <w:r w:rsidRPr="00C17DAB">
        <w:rPr>
          <w:rFonts w:eastAsia="Times New Roman"/>
          <w:b/>
          <w:caps/>
          <w:color w:val="auto"/>
          <w:sz w:val="22"/>
          <w:szCs w:val="22"/>
          <w:lang w:eastAsia="es-ES"/>
        </w:rPr>
        <w:t>Reglamento INTERIOR DEL DIF:</w:t>
      </w:r>
    </w:p>
    <w:p w:rsidR="002801B2" w:rsidRPr="003A6DDE" w:rsidRDefault="002801B2" w:rsidP="002801B2">
      <w:pPr>
        <w:pStyle w:val="Prrafodelista"/>
        <w:ind w:left="0"/>
        <w:jc w:val="both"/>
        <w:rPr>
          <w:rFonts w:ascii="Arial" w:hAnsi="Arial" w:cs="Arial"/>
          <w:b/>
        </w:rPr>
      </w:pPr>
    </w:p>
    <w:tbl>
      <w:tblPr>
        <w:tblStyle w:val="Tablaconcuadrcula"/>
        <w:tblW w:w="0" w:type="auto"/>
        <w:tblLook w:val="04A0" w:firstRow="1" w:lastRow="0" w:firstColumn="1" w:lastColumn="0" w:noHBand="0" w:noVBand="1"/>
      </w:tblPr>
      <w:tblGrid>
        <w:gridCol w:w="4493"/>
        <w:gridCol w:w="4489"/>
      </w:tblGrid>
      <w:tr w:rsidR="002801B2" w:rsidRPr="003A6DDE" w:rsidTr="00263784">
        <w:tc>
          <w:tcPr>
            <w:tcW w:w="4489" w:type="dxa"/>
          </w:tcPr>
          <w:p w:rsidR="002801B2" w:rsidRPr="003A6DDE" w:rsidRDefault="002801B2" w:rsidP="00263784">
            <w:pPr>
              <w:jc w:val="center"/>
              <w:rPr>
                <w:rFonts w:ascii="Arial" w:hAnsi="Arial" w:cs="Arial"/>
                <w:b/>
              </w:rPr>
            </w:pPr>
            <w:r w:rsidRPr="003A6DDE">
              <w:rPr>
                <w:rFonts w:ascii="Arial" w:hAnsi="Arial" w:cs="Arial"/>
                <w:b/>
              </w:rPr>
              <w:t>DICE</w:t>
            </w:r>
          </w:p>
        </w:tc>
        <w:tc>
          <w:tcPr>
            <w:tcW w:w="4489" w:type="dxa"/>
          </w:tcPr>
          <w:p w:rsidR="002801B2" w:rsidRPr="003A6DDE" w:rsidRDefault="002801B2" w:rsidP="00263784">
            <w:pPr>
              <w:jc w:val="center"/>
              <w:rPr>
                <w:rFonts w:ascii="Arial" w:hAnsi="Arial" w:cs="Arial"/>
                <w:b/>
              </w:rPr>
            </w:pPr>
            <w:r w:rsidRPr="003A6DDE">
              <w:rPr>
                <w:rFonts w:ascii="Arial" w:hAnsi="Arial" w:cs="Arial"/>
                <w:b/>
              </w:rPr>
              <w:t>DEBE DECIR</w:t>
            </w:r>
          </w:p>
        </w:tc>
      </w:tr>
      <w:tr w:rsidR="002801B2" w:rsidRPr="003A6DDE" w:rsidTr="00263784">
        <w:trPr>
          <w:trHeight w:val="347"/>
        </w:trPr>
        <w:tc>
          <w:tcPr>
            <w:tcW w:w="4489" w:type="dxa"/>
          </w:tcPr>
          <w:p w:rsidR="002801B2" w:rsidRPr="00416657" w:rsidRDefault="002801B2" w:rsidP="00263784">
            <w:pPr>
              <w:spacing w:after="160" w:line="259" w:lineRule="auto"/>
              <w:jc w:val="both"/>
              <w:rPr>
                <w:rFonts w:ascii="Arial" w:eastAsiaTheme="minorHAnsi" w:hAnsi="Arial" w:cstheme="minorBidi"/>
                <w:szCs w:val="20"/>
                <w:lang w:val="es-ES_tradnl" w:eastAsia="en-US"/>
              </w:rPr>
            </w:pPr>
            <w:r w:rsidRPr="00416657">
              <w:rPr>
                <w:rFonts w:ascii="Arial" w:eastAsiaTheme="minorHAnsi" w:hAnsi="Arial" w:cstheme="minorBidi"/>
                <w:szCs w:val="20"/>
                <w:lang w:val="es-ES_tradnl" w:eastAsia="en-US"/>
              </w:rPr>
              <w:t xml:space="preserve">ARTÍCULO 2. … </w:t>
            </w:r>
          </w:p>
          <w:p w:rsidR="002801B2" w:rsidRPr="00416657" w:rsidRDefault="002801B2" w:rsidP="00263784">
            <w:pPr>
              <w:spacing w:after="160" w:line="259" w:lineRule="auto"/>
              <w:jc w:val="both"/>
              <w:rPr>
                <w:rFonts w:ascii="Arial" w:eastAsiaTheme="minorHAnsi" w:hAnsi="Arial" w:cstheme="minorBidi"/>
                <w:szCs w:val="20"/>
                <w:lang w:val="es-ES_tradnl" w:eastAsia="en-US"/>
              </w:rPr>
            </w:pPr>
            <w:r w:rsidRPr="00416657">
              <w:rPr>
                <w:rFonts w:ascii="Arial" w:eastAsiaTheme="minorHAnsi" w:hAnsi="Arial" w:cstheme="minorBidi"/>
                <w:szCs w:val="20"/>
                <w:lang w:val="es-ES_tradnl" w:eastAsia="en-US"/>
              </w:rPr>
              <w:t>La misión de esta dependencia será prestar asistencia social, implementar programas orientados a fortalecer el núcleo familiar y prevenir problemas sociales procurando la participación de la comunidad.</w:t>
            </w:r>
          </w:p>
          <w:p w:rsidR="002801B2" w:rsidRPr="00416657" w:rsidRDefault="002801B2" w:rsidP="00263784">
            <w:pPr>
              <w:jc w:val="both"/>
              <w:rPr>
                <w:rFonts w:ascii="Arial" w:hAnsi="Arial" w:cs="Arial"/>
              </w:rPr>
            </w:pPr>
          </w:p>
        </w:tc>
        <w:tc>
          <w:tcPr>
            <w:tcW w:w="4489" w:type="dxa"/>
          </w:tcPr>
          <w:p w:rsidR="002801B2" w:rsidRPr="00416657" w:rsidRDefault="002801B2" w:rsidP="00263784">
            <w:pPr>
              <w:jc w:val="both"/>
              <w:rPr>
                <w:rFonts w:ascii="Arial" w:eastAsiaTheme="minorHAnsi" w:hAnsi="Arial" w:cstheme="minorBidi"/>
                <w:szCs w:val="20"/>
                <w:lang w:val="es-ES_tradnl" w:eastAsia="en-US"/>
              </w:rPr>
            </w:pPr>
            <w:r w:rsidRPr="00416657">
              <w:rPr>
                <w:rFonts w:ascii="Arial" w:eastAsiaTheme="minorHAnsi" w:hAnsi="Arial" w:cstheme="minorBidi"/>
                <w:szCs w:val="20"/>
                <w:lang w:val="es-ES_tradnl" w:eastAsia="en-US"/>
              </w:rPr>
              <w:t xml:space="preserve">ARTÍCULO 2. … </w:t>
            </w:r>
          </w:p>
          <w:p w:rsidR="002801B2" w:rsidRPr="00416657"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2801B2" w:rsidRPr="00416657" w:rsidRDefault="002801B2" w:rsidP="00263784">
            <w:pPr>
              <w:pStyle w:val="Poromisin"/>
              <w:jc w:val="both"/>
              <w:rPr>
                <w:rFonts w:ascii="Arial" w:eastAsiaTheme="minorEastAsia" w:hAnsi="Arial" w:cs="Arial"/>
                <w:color w:val="auto"/>
                <w:szCs w:val="18"/>
                <w:bdr w:val="none" w:sz="0" w:space="0" w:color="auto"/>
                <w:lang w:eastAsia="es-ES"/>
              </w:rPr>
            </w:pPr>
            <w:r w:rsidRPr="00416657">
              <w:rPr>
                <w:rFonts w:ascii="Arial" w:eastAsiaTheme="minorEastAsia" w:hAnsi="Arial" w:cs="Arial"/>
                <w:color w:val="auto"/>
                <w:szCs w:val="18"/>
                <w:bdr w:val="none" w:sz="0" w:space="0" w:color="auto"/>
                <w:lang w:eastAsia="es-ES"/>
              </w:rPr>
              <w:t>La Dirección General del Desarrollo Integral de la Familia tiene como misión brindar atención oportuna con personal capacitado, implementando programas orientados a fortalecer el núcleo familiar, así como la prevención de problemas sociales procurando la participación de la comunidad.</w:t>
            </w:r>
          </w:p>
          <w:p w:rsidR="002801B2" w:rsidRPr="00416657" w:rsidRDefault="002801B2" w:rsidP="00263784">
            <w:pPr>
              <w:pStyle w:val="Poromisin"/>
              <w:jc w:val="both"/>
              <w:rPr>
                <w:rFonts w:ascii="Arial" w:hAnsi="Arial" w:cs="Arial"/>
                <w:szCs w:val="18"/>
              </w:rPr>
            </w:pPr>
          </w:p>
        </w:tc>
      </w:tr>
      <w:tr w:rsidR="002801B2" w:rsidRPr="003A6DDE" w:rsidTr="00263784">
        <w:trPr>
          <w:trHeight w:val="1173"/>
        </w:trPr>
        <w:tc>
          <w:tcPr>
            <w:tcW w:w="4489" w:type="dxa"/>
          </w:tcPr>
          <w:p w:rsidR="002801B2" w:rsidRDefault="002801B2" w:rsidP="00263784">
            <w:pPr>
              <w:spacing w:after="160" w:line="259" w:lineRule="auto"/>
              <w:jc w:val="both"/>
              <w:rPr>
                <w:rFonts w:ascii="Arial" w:eastAsiaTheme="minorHAnsi" w:hAnsi="Arial" w:cstheme="minorBidi"/>
                <w:szCs w:val="20"/>
                <w:lang w:val="es-ES_tradnl" w:eastAsia="en-US"/>
              </w:rPr>
            </w:pPr>
          </w:p>
          <w:p w:rsidR="002801B2" w:rsidRPr="00416657" w:rsidRDefault="002801B2" w:rsidP="00263784">
            <w:pPr>
              <w:spacing w:after="160" w:line="259" w:lineRule="auto"/>
              <w:jc w:val="both"/>
              <w:rPr>
                <w:rFonts w:ascii="Arial" w:eastAsiaTheme="minorHAnsi" w:hAnsi="Arial" w:cstheme="minorBidi"/>
                <w:szCs w:val="20"/>
                <w:lang w:val="es-ES_tradnl" w:eastAsia="en-US"/>
              </w:rPr>
            </w:pPr>
            <w:r w:rsidRPr="00416657">
              <w:rPr>
                <w:rFonts w:ascii="Arial" w:eastAsiaTheme="minorHAnsi" w:hAnsi="Arial" w:cstheme="minorBidi"/>
                <w:szCs w:val="20"/>
                <w:lang w:val="es-ES_tradnl" w:eastAsia="en-US"/>
              </w:rPr>
              <w:t xml:space="preserve">ARTÍCULO 19.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y en la cual se incluyan los razonamientos que sean el sustento de las opiniones y observaciones correspondientes. </w:t>
            </w:r>
          </w:p>
          <w:p w:rsidR="002801B2" w:rsidRPr="003A6DDE" w:rsidRDefault="002801B2" w:rsidP="00263784">
            <w:pPr>
              <w:spacing w:after="160" w:line="259" w:lineRule="auto"/>
              <w:jc w:val="both"/>
              <w:rPr>
                <w:rFonts w:ascii="Arial" w:hAnsi="Arial" w:cs="Arial"/>
              </w:rPr>
            </w:pPr>
            <w:r w:rsidRPr="00416657">
              <w:rPr>
                <w:rFonts w:ascii="Arial" w:eastAsiaTheme="minorHAnsi" w:hAnsi="Arial" w:cstheme="minorBidi"/>
                <w:szCs w:val="20"/>
                <w:lang w:val="es-ES_tradnl" w:eastAsia="en-US"/>
              </w:rPr>
              <w:t xml:space="preserve">ARTÍCULO 20. La Comisión deberá analizar, estudiar y dictaminar sobre las propuestas planteadas en un plazo no mayor de treinta días hábiles. De resultar fundadas las propuestas planteadas, se hará del conocimiento del Republicano Ayuntamiento para su consideración. Se deberá informar al </w:t>
            </w:r>
            <w:proofErr w:type="spellStart"/>
            <w:r w:rsidRPr="00416657">
              <w:rPr>
                <w:rFonts w:ascii="Arial" w:eastAsiaTheme="minorHAnsi" w:hAnsi="Arial" w:cstheme="minorBidi"/>
                <w:szCs w:val="20"/>
                <w:lang w:val="es-ES_tradnl" w:eastAsia="en-US"/>
              </w:rPr>
              <w:t>promovente</w:t>
            </w:r>
            <w:proofErr w:type="spellEnd"/>
            <w:r w:rsidRPr="00416657">
              <w:rPr>
                <w:rFonts w:ascii="Arial" w:eastAsiaTheme="minorHAnsi" w:hAnsi="Arial" w:cstheme="minorBidi"/>
                <w:szCs w:val="20"/>
                <w:lang w:val="es-ES_tradnl" w:eastAsia="en-US"/>
              </w:rPr>
              <w:t xml:space="preserve"> la procedencia o improcedencia de sus propuestas.</w:t>
            </w:r>
          </w:p>
        </w:tc>
        <w:tc>
          <w:tcPr>
            <w:tcW w:w="4489" w:type="dxa"/>
          </w:tcPr>
          <w:p w:rsidR="002801B2" w:rsidRPr="00D7592A"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2801B2"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4B737C">
              <w:rPr>
                <w:rFonts w:ascii="Arial" w:hAnsi="Arial" w:cs="Arial"/>
                <w:szCs w:val="18"/>
              </w:rPr>
              <w:t xml:space="preserve">ARTÍCULO </w:t>
            </w:r>
            <w:r>
              <w:rPr>
                <w:rFonts w:ascii="Arial" w:hAnsi="Arial" w:cs="Arial"/>
                <w:szCs w:val="18"/>
              </w:rPr>
              <w:t>19</w:t>
            </w:r>
            <w:r w:rsidRPr="004B737C">
              <w:rPr>
                <w:rFonts w:ascii="Arial" w:hAnsi="Arial" w:cs="Arial"/>
                <w:szCs w:val="18"/>
              </w:rPr>
              <w:t>. Para la revisión y c</w:t>
            </w:r>
            <w:r>
              <w:rPr>
                <w:rFonts w:ascii="Arial" w:hAnsi="Arial" w:cs="Arial"/>
                <w:szCs w:val="18"/>
              </w:rPr>
              <w:t>onsulta del presente Reglamento</w:t>
            </w:r>
            <w:r w:rsidRPr="004B737C">
              <w:rPr>
                <w:rFonts w:ascii="Arial" w:hAnsi="Arial" w:cs="Arial"/>
                <w:szCs w:val="18"/>
              </w:rPr>
              <w:t xml:space="preserve"> la comunidad podrá hacer llegar sus opiniones y observaciones po</w:t>
            </w:r>
            <w:r>
              <w:rPr>
                <w:rFonts w:ascii="Arial" w:hAnsi="Arial" w:cs="Arial"/>
                <w:szCs w:val="18"/>
              </w:rPr>
              <w:t>r escrito a la Comisión de Gob</w:t>
            </w:r>
            <w:r w:rsidRPr="004B737C">
              <w:rPr>
                <w:rFonts w:ascii="Arial" w:hAnsi="Arial" w:cs="Arial"/>
                <w:szCs w:val="18"/>
              </w:rPr>
              <w:t>ern</w:t>
            </w:r>
            <w:r>
              <w:rPr>
                <w:rFonts w:ascii="Arial" w:hAnsi="Arial" w:cs="Arial"/>
                <w:szCs w:val="18"/>
              </w:rPr>
              <w:t>ación</w:t>
            </w:r>
            <w:r w:rsidRPr="004B737C">
              <w:rPr>
                <w:rFonts w:ascii="Arial" w:hAnsi="Arial" w:cs="Arial"/>
                <w:szCs w:val="18"/>
              </w:rPr>
              <w:t xml:space="preserve">, Reglamentación y Mejora Regulatoria, </w:t>
            </w:r>
            <w:r>
              <w:rPr>
                <w:rFonts w:ascii="Arial" w:hAnsi="Arial" w:cs="Arial"/>
                <w:szCs w:val="18"/>
              </w:rPr>
              <w:t>la cual</w:t>
            </w:r>
            <w:r w:rsidRPr="004B737C">
              <w:rPr>
                <w:rFonts w:ascii="Arial" w:hAnsi="Arial" w:cs="Arial"/>
                <w:szCs w:val="18"/>
              </w:rPr>
              <w:t xml:space="preserve"> recibirá y atenderá cualquier sugerencia que sea presentada por la ciudadanía. El </w:t>
            </w:r>
            <w:proofErr w:type="spellStart"/>
            <w:r w:rsidRPr="004B737C">
              <w:rPr>
                <w:rFonts w:ascii="Arial" w:hAnsi="Arial" w:cs="Arial"/>
                <w:szCs w:val="18"/>
              </w:rPr>
              <w:t>promovente</w:t>
            </w:r>
            <w:proofErr w:type="spellEnd"/>
            <w:r w:rsidRPr="004B737C">
              <w:rPr>
                <w:rFonts w:ascii="Arial" w:hAnsi="Arial" w:cs="Arial"/>
                <w:szCs w:val="18"/>
              </w:rPr>
              <w:t xml:space="preserve"> deberá argumentar en el escrito de referencia las razones que sustenten sus opiniones y observaciones con respecto al Reglamento Municipal.</w:t>
            </w:r>
          </w:p>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4B737C">
              <w:rPr>
                <w:rFonts w:ascii="Arial" w:hAnsi="Arial" w:cs="Arial"/>
                <w:szCs w:val="18"/>
              </w:rPr>
              <w:t xml:space="preserve">ARTÍCULO </w:t>
            </w:r>
            <w:r>
              <w:rPr>
                <w:rFonts w:ascii="Arial" w:hAnsi="Arial" w:cs="Arial"/>
                <w:szCs w:val="18"/>
              </w:rPr>
              <w:t>20</w:t>
            </w:r>
            <w:r w:rsidRPr="004B737C">
              <w:rPr>
                <w:rFonts w:ascii="Arial" w:hAnsi="Arial" w:cs="Arial"/>
                <w:szCs w:val="18"/>
              </w:rPr>
              <w:t>. La Comisión deberá en un plazo no mayor a 60 días hábiles, analizar, estudiar y dictaminar sobre las propuestas. En caso de resultar</w:t>
            </w:r>
            <w:r w:rsidRPr="00D7592A">
              <w:rPr>
                <w:rFonts w:ascii="Arial" w:hAnsi="Arial" w:cs="Arial"/>
                <w:szCs w:val="18"/>
              </w:rPr>
              <w:t xml:space="preserve"> fundadas las propuestas planteadas, se hará del conocimiento del Ayuntamiento para su consideración. Se deberá informar al </w:t>
            </w:r>
            <w:proofErr w:type="spellStart"/>
            <w:r w:rsidRPr="00D7592A">
              <w:rPr>
                <w:rFonts w:ascii="Arial" w:hAnsi="Arial" w:cs="Arial"/>
                <w:szCs w:val="18"/>
              </w:rPr>
              <w:t>promovente</w:t>
            </w:r>
            <w:proofErr w:type="spellEnd"/>
            <w:r w:rsidRPr="00D7592A">
              <w:rPr>
                <w:rFonts w:ascii="Arial" w:hAnsi="Arial" w:cs="Arial"/>
                <w:szCs w:val="18"/>
              </w:rPr>
              <w:t xml:space="preserve"> la procedencia o improcedencia de sus propuestas</w:t>
            </w:r>
            <w:r>
              <w:rPr>
                <w:rFonts w:ascii="Arial" w:hAnsi="Arial" w:cs="Arial"/>
                <w:szCs w:val="18"/>
              </w:rPr>
              <w:t>.</w:t>
            </w:r>
          </w:p>
        </w:tc>
      </w:tr>
      <w:tr w:rsidR="002801B2" w:rsidRPr="003A6DDE" w:rsidTr="00263784">
        <w:trPr>
          <w:trHeight w:val="294"/>
        </w:trPr>
        <w:tc>
          <w:tcPr>
            <w:tcW w:w="4493" w:type="dxa"/>
          </w:tcPr>
          <w:p w:rsidR="002801B2" w:rsidRPr="004B737C" w:rsidRDefault="002801B2" w:rsidP="00263784">
            <w:pPr>
              <w:jc w:val="both"/>
              <w:rPr>
                <w:rFonts w:ascii="Arial" w:hAnsi="Arial" w:cs="Arial"/>
                <w:b/>
                <w:szCs w:val="18"/>
              </w:rPr>
            </w:pPr>
          </w:p>
        </w:tc>
        <w:tc>
          <w:tcPr>
            <w:tcW w:w="4485" w:type="dxa"/>
          </w:tcPr>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4B737C">
              <w:rPr>
                <w:rFonts w:ascii="Arial" w:hAnsi="Arial" w:cs="Arial"/>
                <w:szCs w:val="18"/>
              </w:rPr>
              <w:t>CAPÍTULO</w:t>
            </w:r>
            <w:r>
              <w:rPr>
                <w:rFonts w:ascii="Arial" w:hAnsi="Arial" w:cs="Arial"/>
                <w:szCs w:val="18"/>
              </w:rPr>
              <w:t xml:space="preserve"> V</w:t>
            </w:r>
          </w:p>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Cs w:val="18"/>
              </w:rPr>
            </w:pPr>
            <w:r w:rsidRPr="004B737C">
              <w:rPr>
                <w:rFonts w:ascii="Arial" w:hAnsi="Arial" w:cs="Arial"/>
                <w:szCs w:val="18"/>
              </w:rPr>
              <w:t>DEL RECURSO ÚNICO DE INCONFORMIDAD.</w:t>
            </w:r>
          </w:p>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4B737C">
              <w:rPr>
                <w:rFonts w:ascii="Arial" w:hAnsi="Arial" w:cs="Arial"/>
                <w:szCs w:val="18"/>
              </w:rPr>
              <w:t xml:space="preserve">ARTÍCULO </w:t>
            </w:r>
            <w:r>
              <w:rPr>
                <w:rFonts w:ascii="Arial" w:hAnsi="Arial" w:cs="Arial"/>
                <w:szCs w:val="18"/>
              </w:rPr>
              <w:t>21</w:t>
            </w:r>
            <w:r w:rsidRPr="004B737C">
              <w:rPr>
                <w:rFonts w:ascii="Arial" w:hAnsi="Arial" w:cs="Arial"/>
                <w:szCs w:val="18"/>
              </w:rPr>
              <w:t xml:space="preserve">. El Procedimiento Administrativo único de recurso de </w:t>
            </w:r>
            <w:r w:rsidRPr="004B737C">
              <w:rPr>
                <w:rFonts w:ascii="Arial" w:hAnsi="Arial" w:cs="Arial"/>
                <w:szCs w:val="18"/>
              </w:rPr>
              <w:lastRenderedPageBreak/>
              <w:t>inconformidad procederá en contra de los actos emitidos por las autoridades del municipio de Monterrey, con excepción de aquellos recursos cuyo procedimiento este regulado en la Legislación Estatal.</w:t>
            </w:r>
          </w:p>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2801B2" w:rsidRPr="004B737C" w:rsidRDefault="002801B2" w:rsidP="00263784">
            <w:pPr>
              <w:jc w:val="both"/>
              <w:rPr>
                <w:rFonts w:ascii="Arial" w:hAnsi="Arial" w:cs="Arial"/>
                <w:b/>
                <w:szCs w:val="18"/>
              </w:rPr>
            </w:pPr>
            <w:r w:rsidRPr="004B737C">
              <w:rPr>
                <w:rFonts w:ascii="Arial" w:hAnsi="Arial" w:cs="Arial"/>
                <w:szCs w:val="18"/>
              </w:rPr>
              <w:t xml:space="preserve">ARTÍCULO </w:t>
            </w:r>
            <w:r>
              <w:rPr>
                <w:rFonts w:ascii="Arial" w:hAnsi="Arial" w:cs="Arial"/>
                <w:szCs w:val="18"/>
              </w:rPr>
              <w:t>22</w:t>
            </w:r>
            <w:r w:rsidRPr="004B737C">
              <w:rPr>
                <w:rFonts w:ascii="Arial" w:hAnsi="Arial" w:cs="Arial"/>
                <w:szCs w:val="18"/>
              </w:rPr>
              <w:t>.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tc>
      </w:tr>
      <w:tr w:rsidR="002801B2" w:rsidRPr="003A6DDE" w:rsidTr="00263784">
        <w:trPr>
          <w:trHeight w:val="960"/>
        </w:trPr>
        <w:tc>
          <w:tcPr>
            <w:tcW w:w="8978" w:type="dxa"/>
            <w:gridSpan w:val="2"/>
            <w:tcBorders>
              <w:bottom w:val="single" w:sz="4" w:space="0" w:color="auto"/>
            </w:tcBorders>
          </w:tcPr>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r w:rsidRPr="004B737C">
              <w:rPr>
                <w:rFonts w:ascii="Arial" w:hAnsi="Arial" w:cs="Arial"/>
                <w:b/>
                <w:szCs w:val="18"/>
              </w:rPr>
              <w:lastRenderedPageBreak/>
              <w:t>TRANSITORIO</w:t>
            </w:r>
          </w:p>
          <w:p w:rsidR="002801B2" w:rsidRPr="004B737C" w:rsidRDefault="002801B2"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p>
          <w:p w:rsidR="002801B2" w:rsidRPr="004B737C" w:rsidRDefault="002801B2" w:rsidP="00263784">
            <w:pPr>
              <w:jc w:val="both"/>
              <w:rPr>
                <w:rFonts w:ascii="Arial" w:hAnsi="Arial" w:cs="Arial"/>
                <w:b/>
                <w:szCs w:val="18"/>
              </w:rPr>
            </w:pPr>
            <w:r w:rsidRPr="004B737C">
              <w:rPr>
                <w:rFonts w:ascii="Arial" w:hAnsi="Arial"/>
              </w:rPr>
              <w:t xml:space="preserve">ÚNICO. Las presentes reformas </w:t>
            </w:r>
            <w:r w:rsidRPr="0036335C">
              <w:rPr>
                <w:rFonts w:ascii="Arial" w:hAnsi="Arial" w:cstheme="minorBidi"/>
              </w:rPr>
              <w:t xml:space="preserve">entrarán en vigor </w:t>
            </w:r>
            <w:r>
              <w:rPr>
                <w:rFonts w:ascii="Arial" w:hAnsi="Arial" w:cstheme="minorBidi"/>
              </w:rPr>
              <w:t xml:space="preserve">a partir </w:t>
            </w:r>
            <w:r w:rsidRPr="0036335C">
              <w:rPr>
                <w:rFonts w:ascii="Arial" w:hAnsi="Arial" w:cstheme="minorBidi"/>
              </w:rPr>
              <w:t>de su publicación en el Periódico Oficial del Estado</w:t>
            </w:r>
            <w:r w:rsidRPr="0036335C">
              <w:rPr>
                <w:rFonts w:ascii="Arial" w:hAnsi="Arial"/>
              </w:rPr>
              <w:t>.</w:t>
            </w:r>
          </w:p>
        </w:tc>
      </w:tr>
    </w:tbl>
    <w:p w:rsidR="002801B2" w:rsidRDefault="002801B2" w:rsidP="002801B2"/>
    <w:p w:rsidR="002801B2" w:rsidRDefault="002801B2" w:rsidP="002801B2"/>
    <w:p w:rsidR="00E90879" w:rsidRDefault="00E90879">
      <w:bookmarkStart w:id="0" w:name="_GoBack"/>
      <w:bookmarkEnd w:id="0"/>
    </w:p>
    <w:sectPr w:rsidR="00E90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B2"/>
    <w:rsid w:val="002801B2"/>
    <w:rsid w:val="00E9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E9A7D-D63E-47FB-B83F-7AF51BA4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01B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801B2"/>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2801B2"/>
    <w:pPr>
      <w:pBdr>
        <w:top w:val="nil"/>
        <w:left w:val="nil"/>
        <w:bottom w:val="nil"/>
        <w:right w:val="nil"/>
        <w:between w:val="nil"/>
        <w:bar w:val="nil"/>
      </w:pBdr>
      <w:spacing w:after="0" w:line="240" w:lineRule="auto"/>
    </w:pPr>
    <w:rPr>
      <w:rFonts w:ascii="Helvetica" w:eastAsia="Helvetica" w:hAnsi="Helvetica" w:cs="Helvetica"/>
      <w:color w:val="000000"/>
      <w:bdr w:val="nil"/>
      <w:lang w:val="es-MX" w:eastAsia="es-MX"/>
    </w:rPr>
  </w:style>
  <w:style w:type="paragraph" w:customStyle="1" w:styleId="Default">
    <w:name w:val="Default"/>
    <w:rsid w:val="002801B2"/>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8051-0D40-4FFB-AFD3-4472ECA1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Balderas Reyna</dc:creator>
  <cp:keywords/>
  <dc:description/>
  <cp:lastModifiedBy>Maria Eugenia Balderas Reyna</cp:lastModifiedBy>
  <cp:revision>1</cp:revision>
  <dcterms:created xsi:type="dcterms:W3CDTF">2016-02-15T19:17:00Z</dcterms:created>
  <dcterms:modified xsi:type="dcterms:W3CDTF">2016-02-15T19:18:00Z</dcterms:modified>
</cp:coreProperties>
</file>